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A2" w:rsidRDefault="00E35BA2" w:rsidP="00E35BA2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019230" r:id="rId6"/>
        </w:objec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ТРИДЦЯТЬ ПЕРША СЕСІЯ VІІІ СКЛИКАННЯ</w: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E35BA2" w:rsidRPr="00CB73CF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25 травня 2023 року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№ 31/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35BA2" w:rsidRDefault="00E35BA2" w:rsidP="00E35B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с.Гатне</w:t>
      </w:r>
      <w:proofErr w:type="spellEnd"/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5C5D65">
        <w:rPr>
          <w:rFonts w:ascii="Times New Roman" w:hAnsi="Times New Roman"/>
          <w:b/>
          <w:bCs/>
          <w:iCs/>
          <w:sz w:val="28"/>
          <w:szCs w:val="28"/>
        </w:rPr>
        <w:t>внесення змін до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 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5C5D65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>, виклавши її в новій редакції</w:t>
      </w:r>
      <w:r w:rsidR="00E35BA2">
        <w:rPr>
          <w:rFonts w:ascii="Times New Roman" w:hAnsi="Times New Roman" w:cs="Times New Roman"/>
          <w:sz w:val="28"/>
          <w:szCs w:val="28"/>
        </w:rPr>
        <w:t>, що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684067" w:rsidRDefault="0089546D" w:rsidP="0089546D">
      <w:pPr>
        <w:pStyle w:val="a5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FC38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 ПАЛАМАРЧУК</w:t>
      </w: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E35BA2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E35BA2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E35BA2" w:rsidRPr="004E259B" w:rsidRDefault="00E35BA2" w:rsidP="00E35BA2">
      <w:pPr>
        <w:spacing w:after="0" w:line="275" w:lineRule="exact"/>
        <w:ind w:right="-850" w:firstLine="4536"/>
        <w:rPr>
          <w:rFonts w:ascii="Times New Roman" w:hAnsi="Times New Roman"/>
          <w:b/>
          <w:sz w:val="28"/>
          <w:szCs w:val="28"/>
        </w:rPr>
      </w:pPr>
      <w:r w:rsidRPr="004E259B">
        <w:rPr>
          <w:rFonts w:ascii="Times New Roman" w:hAnsi="Times New Roman"/>
          <w:b/>
          <w:sz w:val="28"/>
          <w:szCs w:val="28"/>
        </w:rPr>
        <w:t xml:space="preserve">(нова редакція від </w:t>
      </w:r>
      <w:r>
        <w:rPr>
          <w:rFonts w:ascii="Times New Roman" w:hAnsi="Times New Roman"/>
          <w:b/>
          <w:sz w:val="28"/>
          <w:szCs w:val="28"/>
        </w:rPr>
        <w:t>25.05</w:t>
      </w:r>
      <w:r w:rsidRPr="004E259B">
        <w:rPr>
          <w:rFonts w:ascii="Times New Roman" w:hAnsi="Times New Roman"/>
          <w:b/>
          <w:sz w:val="28"/>
          <w:szCs w:val="28"/>
        </w:rPr>
        <w:t>.2023р №</w:t>
      </w:r>
      <w:r>
        <w:rPr>
          <w:rFonts w:ascii="Times New Roman" w:hAnsi="Times New Roman"/>
          <w:b/>
          <w:sz w:val="28"/>
          <w:szCs w:val="28"/>
        </w:rPr>
        <w:t>31/5</w:t>
      </w:r>
      <w:r w:rsidRPr="004E259B">
        <w:rPr>
          <w:rFonts w:ascii="Times New Roman" w:hAnsi="Times New Roman"/>
          <w:b/>
          <w:sz w:val="28"/>
          <w:szCs w:val="28"/>
        </w:rPr>
        <w:t>)</w:t>
      </w:r>
    </w:p>
    <w:p w:rsidR="00E35BA2" w:rsidRDefault="00E35BA2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E35BA2" w:rsidRPr="00AD06F2" w:rsidRDefault="00E35BA2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color w:val="000000" w:themeColor="text1"/>
                <w:sz w:val="28"/>
                <w:lang w:val="uk-UA"/>
              </w:rPr>
              <w:t xml:space="preserve">Гатненська сільська </w:t>
            </w:r>
            <w:r w:rsidRPr="00861FCC">
              <w:rPr>
                <w:sz w:val="28"/>
                <w:lang w:val="uk-UA" w:eastAsia="en-US"/>
              </w:rPr>
              <w:t>територіальна громада</w:t>
            </w:r>
            <w:r w:rsidRPr="00861FCC">
              <w:rPr>
                <w:bCs/>
                <w:sz w:val="28"/>
                <w:lang w:val="uk-UA" w:eastAsia="en-US"/>
              </w:rPr>
              <w:t>, Фастівський</w:t>
            </w:r>
            <w:r w:rsidRPr="00861FCC">
              <w:rPr>
                <w:sz w:val="28"/>
                <w:lang w:val="uk-UA" w:eastAsia="en-US"/>
              </w:rPr>
              <w:t xml:space="preserve"> РТЦК та СП</w:t>
            </w:r>
            <w:r>
              <w:rPr>
                <w:sz w:val="28"/>
                <w:lang w:val="uk-UA" w:eastAsia="en-US"/>
              </w:rPr>
              <w:t>, Добровольче формування №1 Гатненської територіальної громади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Бюджет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proofErr w:type="spellStart"/>
            <w:r>
              <w:rPr>
                <w:bCs/>
                <w:color w:val="000000" w:themeColor="text1"/>
                <w:sz w:val="28"/>
              </w:rPr>
              <w:t>Гатненськ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Щорічно </w:t>
            </w:r>
          </w:p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5C5D65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9E4109">
              <w:rPr>
                <w:sz w:val="28"/>
                <w:highlight w:val="yellow"/>
                <w:lang w:val="uk-UA" w:eastAsia="en-US"/>
              </w:rPr>
              <w:t>2</w:t>
            </w:r>
            <w:r w:rsidR="0089546D" w:rsidRPr="009E4109">
              <w:rPr>
                <w:sz w:val="28"/>
                <w:highlight w:val="yellow"/>
                <w:lang w:val="uk-UA" w:eastAsia="en-US"/>
              </w:rPr>
              <w:t>000 тис. грн..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воєнного стану та проведення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бюджету;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</w:t>
      </w:r>
      <w:r w:rsidRPr="00861FCC">
        <w:rPr>
          <w:rFonts w:ascii="Times New Roman" w:hAnsi="Times New Roman"/>
          <w:sz w:val="28"/>
          <w:szCs w:val="28"/>
        </w:rPr>
        <w:tab/>
        <w:t xml:space="preserve">   </w:t>
      </w:r>
      <w:r w:rsidRPr="005C5D65">
        <w:rPr>
          <w:rFonts w:ascii="Times New Roman" w:hAnsi="Times New Roman"/>
          <w:sz w:val="28"/>
          <w:szCs w:val="28"/>
          <w:highlight w:val="yellow"/>
        </w:rPr>
        <w:t>придбання та передача паливо-мастильних матеріалів, засобів захисту, зв’язку, оптичних та світлових приладів,</w:t>
      </w:r>
      <w:r w:rsidR="005C5D65" w:rsidRPr="005C5D65">
        <w:rPr>
          <w:rFonts w:ascii="Times New Roman" w:hAnsi="Times New Roman"/>
          <w:sz w:val="28"/>
          <w:szCs w:val="28"/>
          <w:highlight w:val="yellow"/>
        </w:rPr>
        <w:t xml:space="preserve"> безпілотних літальних апаратів,</w:t>
      </w:r>
      <w:r w:rsidRPr="005C5D6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C5D65" w:rsidRPr="005C5D65">
        <w:rPr>
          <w:rFonts w:ascii="Times New Roman" w:hAnsi="Times New Roman"/>
          <w:sz w:val="28"/>
          <w:szCs w:val="28"/>
          <w:highlight w:val="yellow"/>
        </w:rPr>
        <w:t>а</w:t>
      </w:r>
      <w:r w:rsidRPr="005C5D65">
        <w:rPr>
          <w:rFonts w:ascii="Times New Roman" w:hAnsi="Times New Roman"/>
          <w:sz w:val="28"/>
          <w:szCs w:val="28"/>
          <w:highlight w:val="yellow"/>
        </w:rPr>
        <w:t>втомототранспорту</w:t>
      </w:r>
      <w:r w:rsidR="005C5D65" w:rsidRPr="005C5D65">
        <w:rPr>
          <w:rFonts w:ascii="Times New Roman" w:hAnsi="Times New Roman"/>
          <w:sz w:val="28"/>
          <w:szCs w:val="28"/>
          <w:highlight w:val="yellow"/>
        </w:rPr>
        <w:t>,  комплектуючих запасних частин до автомототранспорту</w:t>
      </w:r>
      <w:r w:rsidRPr="005C5D65">
        <w:rPr>
          <w:rFonts w:ascii="Times New Roman" w:hAnsi="Times New Roman"/>
          <w:sz w:val="28"/>
          <w:szCs w:val="28"/>
          <w:highlight w:val="yellow"/>
        </w:rPr>
        <w:t>, 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89546D" w:rsidRPr="00EB611F" w:rsidRDefault="0089546D" w:rsidP="0089546D">
      <w:pPr>
        <w:rPr>
          <w:rFonts w:ascii="Times New Roman" w:hAnsi="Times New Roman"/>
          <w:b/>
          <w:sz w:val="28"/>
          <w:szCs w:val="28"/>
        </w:rPr>
      </w:pPr>
    </w:p>
    <w:p w:rsidR="00EB611F" w:rsidRPr="00EB611F" w:rsidRDefault="00EB611F" w:rsidP="00EB611F">
      <w:pPr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B611F">
        <w:rPr>
          <w:rFonts w:ascii="Times New Roman" w:hAnsi="Times New Roman"/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074C07" w:rsidRPr="0089546D" w:rsidRDefault="00074C07" w:rsidP="0089546D"/>
    <w:sectPr w:rsidR="00074C07" w:rsidRPr="0089546D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74C07"/>
    <w:rsid w:val="00271E8D"/>
    <w:rsid w:val="003028F8"/>
    <w:rsid w:val="0034163E"/>
    <w:rsid w:val="003E22CD"/>
    <w:rsid w:val="00403DE9"/>
    <w:rsid w:val="00551F51"/>
    <w:rsid w:val="005C5D65"/>
    <w:rsid w:val="00607FB7"/>
    <w:rsid w:val="00684067"/>
    <w:rsid w:val="006E7C27"/>
    <w:rsid w:val="007817D0"/>
    <w:rsid w:val="00861FCC"/>
    <w:rsid w:val="00881008"/>
    <w:rsid w:val="0089546D"/>
    <w:rsid w:val="009E4109"/>
    <w:rsid w:val="00A40E61"/>
    <w:rsid w:val="00A54FED"/>
    <w:rsid w:val="00AF07AD"/>
    <w:rsid w:val="00B01C5A"/>
    <w:rsid w:val="00B720FD"/>
    <w:rsid w:val="00C1742A"/>
    <w:rsid w:val="00C31AC1"/>
    <w:rsid w:val="00D164BA"/>
    <w:rsid w:val="00DC40A8"/>
    <w:rsid w:val="00E35BA2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8976</Words>
  <Characters>5117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3</cp:revision>
  <cp:lastPrinted>2023-02-17T09:04:00Z</cp:lastPrinted>
  <dcterms:created xsi:type="dcterms:W3CDTF">2023-05-19T13:32:00Z</dcterms:created>
  <dcterms:modified xsi:type="dcterms:W3CDTF">2023-05-19T13:34:00Z</dcterms:modified>
</cp:coreProperties>
</file>