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F" w:rsidRDefault="00CB73CF" w:rsidP="00CB73C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3732508" r:id="rId6"/>
        </w:objec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CB73CF" w:rsidRDefault="00F56941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СЬОМА</w:t>
      </w:r>
      <w:r w:rsidR="00CB73CF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B73CF" w:rsidRDefault="00F56941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3CF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CB73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 w:rsidR="00CB73C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B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27/3</w:t>
      </w:r>
    </w:p>
    <w:p w:rsidR="00CB73CF" w:rsidRP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73CF" w:rsidRDefault="00CB73CF" w:rsidP="00CB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</w:t>
      </w:r>
      <w:r w:rsidR="00F5694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 w:rsidR="00F5694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</w:t>
      </w:r>
      <w:r w:rsidR="00F56941">
        <w:rPr>
          <w:rFonts w:ascii="Times New Roman" w:hAnsi="Times New Roman" w:cs="Courier New"/>
          <w:sz w:val="28"/>
          <w:szCs w:val="28"/>
          <w:lang w:val="uk-UA"/>
        </w:rPr>
        <w:t>ої сільської ради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</w:t>
      </w:r>
      <w:r w:rsidR="00F56941">
        <w:rPr>
          <w:b w:val="0"/>
          <w:i w:val="0"/>
          <w:szCs w:val="28"/>
        </w:rPr>
        <w:t>3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 w:rsidR="00F56941">
        <w:rPr>
          <w:b w:val="0"/>
          <w:i w:val="0"/>
          <w:szCs w:val="28"/>
        </w:rPr>
        <w:t>3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F56941">
        <w:rPr>
          <w:sz w:val="26"/>
          <w:szCs w:val="26"/>
          <w:lang w:val="en-US"/>
        </w:rPr>
        <w:t>XXVII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 xml:space="preserve">Гатненської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681AAE" w:rsidRDefault="00971372" w:rsidP="00971372">
      <w:pPr>
        <w:pStyle w:val="a6"/>
        <w:ind w:left="351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F56941">
        <w:rPr>
          <w:sz w:val="26"/>
          <w:szCs w:val="26"/>
          <w:lang w:val="uk-UA"/>
        </w:rPr>
        <w:t>2</w:t>
      </w:r>
      <w:r w:rsidR="00CB73CF" w:rsidRPr="00CF3F85">
        <w:rPr>
          <w:sz w:val="26"/>
          <w:szCs w:val="26"/>
          <w:lang w:val="uk-UA"/>
        </w:rPr>
        <w:t>.12.202</w:t>
      </w:r>
      <w:r w:rsidR="00F56941" w:rsidRPr="00681AAE">
        <w:rPr>
          <w:sz w:val="26"/>
          <w:szCs w:val="26"/>
          <w:lang w:val="uk-UA"/>
        </w:rPr>
        <w:t>2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</w:t>
      </w:r>
      <w:r w:rsidR="00F56941" w:rsidRPr="00681AAE">
        <w:rPr>
          <w:sz w:val="26"/>
          <w:szCs w:val="26"/>
          <w:lang w:val="uk-UA"/>
        </w:rPr>
        <w:t>27/3</w:t>
      </w:r>
    </w:p>
    <w:p w:rsidR="00CF3F85" w:rsidRPr="00AD7C1F" w:rsidRDefault="00CF3F85" w:rsidP="00971372">
      <w:pPr>
        <w:pStyle w:val="a6"/>
        <w:rPr>
          <w:sz w:val="27"/>
          <w:szCs w:val="27"/>
          <w:lang w:val="uk-UA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F56941">
        <w:rPr>
          <w:sz w:val="27"/>
          <w:szCs w:val="27"/>
          <w:lang w:val="uk-UA"/>
        </w:rPr>
        <w:t>3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F56941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2023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086AA0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F56941">
              <w:rPr>
                <w:b w:val="0"/>
                <w:sz w:val="26"/>
                <w:szCs w:val="26"/>
                <w:lang w:val="uk-UA"/>
              </w:rPr>
              <w:t xml:space="preserve"> бюджету за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F56941">
              <w:rPr>
                <w:b w:val="0"/>
                <w:sz w:val="26"/>
                <w:szCs w:val="26"/>
                <w:lang w:val="uk-UA"/>
              </w:rPr>
              <w:t>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</w:t>
            </w:r>
            <w:r w:rsidR="00F56941">
              <w:rPr>
                <w:b w:val="0"/>
                <w:sz w:val="26"/>
                <w:szCs w:val="26"/>
                <w:lang w:val="uk-UA"/>
              </w:rPr>
              <w:t>громади за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6658EB" w:rsidRDefault="00971372" w:rsidP="00CB73CF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F56941">
              <w:rPr>
                <w:rFonts w:ascii="Times New Roman" w:hAnsi="Times New Roman"/>
                <w:sz w:val="26"/>
                <w:szCs w:val="26"/>
              </w:rPr>
              <w:t xml:space="preserve"> за 2022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F56941">
        <w:rPr>
          <w:sz w:val="26"/>
          <w:szCs w:val="26"/>
          <w:lang w:val="uk-UA"/>
        </w:rPr>
        <w:t>3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</w:t>
            </w:r>
            <w:r w:rsidR="00F56941" w:rsidRPr="00F56941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F56941">
              <w:rPr>
                <w:b w:val="0"/>
                <w:color w:val="00000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</w:t>
            </w:r>
            <w:r w:rsidR="00F56941">
              <w:rPr>
                <w:b w:val="0"/>
                <w:iCs/>
                <w:color w:val="000000"/>
                <w:sz w:val="26"/>
                <w:szCs w:val="26"/>
              </w:rPr>
              <w:t>,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на 2024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</w:t>
            </w:r>
            <w:r w:rsidR="00F56941">
              <w:rPr>
                <w:b w:val="0"/>
                <w:iCs/>
                <w:sz w:val="26"/>
                <w:szCs w:val="26"/>
              </w:rPr>
              <w:t>4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F569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2024</w:t>
            </w:r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6658EB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6 місяців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9 місяців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>-202</w:t>
            </w:r>
            <w:r w:rsidR="00F56941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роки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  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F56941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</w:t>
            </w:r>
            <w:r w:rsidR="00F56941">
              <w:rPr>
                <w:b w:val="0"/>
                <w:sz w:val="26"/>
                <w:szCs w:val="26"/>
                <w:lang w:val="uk-UA"/>
              </w:rPr>
              <w:t>ктів регуляторних  актів на 2024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F56941">
        <w:rPr>
          <w:b w:val="0"/>
          <w:szCs w:val="28"/>
          <w:lang w:val="uk-UA"/>
        </w:rPr>
        <w:t>2023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</w:t>
      </w:r>
      <w:r w:rsidR="00F56941">
        <w:rPr>
          <w:b w:val="0"/>
          <w:szCs w:val="28"/>
          <w:lang w:val="uk-UA"/>
        </w:rPr>
        <w:t>3</w:t>
      </w:r>
      <w:r w:rsidR="006658EB">
        <w:rPr>
          <w:b w:val="0"/>
          <w:szCs w:val="28"/>
          <w:lang w:val="uk-UA"/>
        </w:rPr>
        <w:t xml:space="preserve">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AAE" w:rsidRDefault="00681AAE" w:rsidP="0068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681AAE"/>
    <w:rsid w:val="00846777"/>
    <w:rsid w:val="008E7930"/>
    <w:rsid w:val="00971372"/>
    <w:rsid w:val="0097378F"/>
    <w:rsid w:val="00A97FB0"/>
    <w:rsid w:val="00AD7C1F"/>
    <w:rsid w:val="00CB73CF"/>
    <w:rsid w:val="00CF3F85"/>
    <w:rsid w:val="00D32DCE"/>
    <w:rsid w:val="00DA1AE5"/>
    <w:rsid w:val="00DA563E"/>
    <w:rsid w:val="00E97DA9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2021-12-28T09:15:00Z</cp:lastPrinted>
  <dcterms:created xsi:type="dcterms:W3CDTF">2020-12-22T07:18:00Z</dcterms:created>
  <dcterms:modified xsi:type="dcterms:W3CDTF">2022-12-28T09:35:00Z</dcterms:modified>
</cp:coreProperties>
</file>