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72" w:rsidRDefault="00102D72" w:rsidP="00102D72">
      <w:pPr>
        <w:spacing w:line="240" w:lineRule="auto"/>
        <w:ind w:right="-1186"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6" o:title=""/>
          </v:shape>
          <o:OLEObject Type="Embed" ProgID="Word.Picture.8" ShapeID="_x0000_i1025" DrawAspect="Content" ObjectID="_1702280007" r:id="rId7"/>
        </w:object>
      </w:r>
    </w:p>
    <w:p w:rsidR="00102D72" w:rsidRDefault="00102D72" w:rsidP="00102D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102D72" w:rsidRDefault="00102D72" w:rsidP="00102D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102D72" w:rsidRDefault="00D06237" w:rsidP="00102D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ІМНАДЦЯТА </w:t>
      </w:r>
      <w:r w:rsidR="00102D72">
        <w:rPr>
          <w:rFonts w:ascii="Times New Roman" w:hAnsi="Times New Roman" w:cs="Times New Roman"/>
          <w:sz w:val="28"/>
          <w:szCs w:val="28"/>
        </w:rPr>
        <w:t>СЕСІЯ VІІІ СКЛИКАННЯ</w:t>
      </w:r>
    </w:p>
    <w:p w:rsidR="00102D72" w:rsidRDefault="00102D72" w:rsidP="00102D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2D72" w:rsidRDefault="00102D72" w:rsidP="00102D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102D72" w:rsidRPr="0035575B" w:rsidRDefault="00102D72" w:rsidP="00102D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D06237" w:rsidRPr="00EE6F33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06237" w:rsidRPr="00EE6F3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</w:t>
      </w:r>
      <w:r w:rsidR="00D0623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B2963" w:rsidRPr="003557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623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B2963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4B2963" w:rsidRPr="0035575B">
        <w:rPr>
          <w:rFonts w:ascii="Times New Roman" w:hAnsi="Times New Roman" w:cs="Times New Roman"/>
          <w:b/>
          <w:sz w:val="28"/>
          <w:szCs w:val="28"/>
        </w:rPr>
        <w:t>/2</w:t>
      </w:r>
    </w:p>
    <w:p w:rsidR="00102D72" w:rsidRDefault="00102D72" w:rsidP="00102D72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102D72" w:rsidRDefault="00102D72" w:rsidP="00102D72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2D72" w:rsidRDefault="00102D72" w:rsidP="00102D72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затвердження</w:t>
      </w:r>
      <w:r w:rsidR="00FC54B0">
        <w:rPr>
          <w:rFonts w:ascii="Times New Roman" w:hAnsi="Times New Roman"/>
          <w:b/>
          <w:sz w:val="28"/>
          <w:szCs w:val="28"/>
          <w:lang w:val="uk-UA"/>
        </w:rPr>
        <w:t xml:space="preserve"> бюджету Гатненської сільської територіальної громади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202</w:t>
      </w:r>
      <w:r w:rsidR="009E250D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102D72" w:rsidRDefault="00102D72" w:rsidP="00102D72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D72" w:rsidRDefault="00102D72" w:rsidP="00102D72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2D72" w:rsidRDefault="00FC54B0" w:rsidP="00102D72">
      <w:pPr>
        <w:pStyle w:val="4"/>
        <w:ind w:firstLine="0"/>
        <w:jc w:val="center"/>
        <w:outlineLvl w:val="3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Код території 10537000000</w:t>
      </w:r>
    </w:p>
    <w:p w:rsidR="00FC54B0" w:rsidRPr="00FC54B0" w:rsidRDefault="00FC54B0" w:rsidP="00FC54B0">
      <w:pPr>
        <w:rPr>
          <w:lang w:eastAsia="ru-RU"/>
        </w:rPr>
      </w:pPr>
    </w:p>
    <w:p w:rsidR="00102D72" w:rsidRDefault="00102D72" w:rsidP="00102D72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Закону України  «Про місцеве самоврядування в Україні», Закону України</w:t>
      </w:r>
      <w:r w:rsidR="0035575B">
        <w:rPr>
          <w:rFonts w:ascii="Times New Roman" w:hAnsi="Times New Roman" w:cs="Times New Roman"/>
          <w:sz w:val="28"/>
          <w:szCs w:val="28"/>
          <w:lang w:val="uk-UA"/>
        </w:rPr>
        <w:t>, Гатненська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35575B">
        <w:rPr>
          <w:rFonts w:ascii="Times New Roman" w:hAnsi="Times New Roman" w:cs="Times New Roman"/>
          <w:sz w:val="28"/>
          <w:szCs w:val="28"/>
          <w:lang w:val="uk-UA"/>
        </w:rPr>
        <w:t>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02D72" w:rsidRDefault="0035575B" w:rsidP="00102D72">
      <w:pPr>
        <w:tabs>
          <w:tab w:val="left" w:pos="540"/>
        </w:tabs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102D7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02D72" w:rsidRDefault="00102D72" w:rsidP="00102D72">
      <w:pPr>
        <w:numPr>
          <w:ilvl w:val="1"/>
          <w:numId w:val="1"/>
        </w:numPr>
        <w:tabs>
          <w:tab w:val="left" w:pos="142"/>
          <w:tab w:val="left" w:pos="540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56"/>
      <w:bookmarkStart w:id="1" w:name="n60"/>
      <w:bookmarkEnd w:id="0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Визначити на 202</w:t>
      </w:r>
      <w:r w:rsidR="00D0623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рік:</w:t>
      </w:r>
    </w:p>
    <w:p w:rsidR="00102D72" w:rsidRDefault="00102D72" w:rsidP="00102D72">
      <w:pPr>
        <w:tabs>
          <w:tab w:val="left" w:pos="142"/>
          <w:tab w:val="left" w:pos="540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доходи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бюджету у сумі </w:t>
      </w:r>
      <w:r w:rsidR="00D06237">
        <w:rPr>
          <w:rFonts w:ascii="Times New Roman" w:hAnsi="Times New Roman" w:cs="Times New Roman"/>
          <w:b/>
          <w:sz w:val="28"/>
          <w:szCs w:val="28"/>
          <w:lang w:val="uk-UA"/>
        </w:rPr>
        <w:t>203 754 350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гривень, у тому числі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доходи загального фонду сільського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6237">
        <w:rPr>
          <w:rFonts w:ascii="Times New Roman" w:hAnsi="Times New Roman" w:cs="Times New Roman"/>
          <w:b/>
          <w:sz w:val="28"/>
          <w:szCs w:val="28"/>
          <w:lang w:val="uk-UA"/>
        </w:rPr>
        <w:t>157 485 450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гривень, з них міжбюджетні трансферти в сумі </w:t>
      </w:r>
      <w:r w:rsidR="00D06237">
        <w:rPr>
          <w:rFonts w:ascii="Times New Roman" w:hAnsi="Times New Roman" w:cs="Times New Roman"/>
          <w:b/>
          <w:sz w:val="28"/>
          <w:szCs w:val="28"/>
          <w:lang w:val="uk-UA"/>
        </w:rPr>
        <w:t>41 398 400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гривень, доходи від плати за послуги бюджетних установ </w:t>
      </w:r>
      <w:r w:rsidR="00D06237">
        <w:rPr>
          <w:rFonts w:ascii="Times New Roman" w:hAnsi="Times New Roman" w:cs="Times New Roman"/>
          <w:b/>
          <w:sz w:val="28"/>
          <w:szCs w:val="28"/>
          <w:lang w:val="uk-UA"/>
        </w:rPr>
        <w:t>3 463 500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 та доходи спеціального фонду сільського бюджету – </w:t>
      </w:r>
      <w:r w:rsidR="00D06237">
        <w:rPr>
          <w:rFonts w:ascii="Times New Roman" w:hAnsi="Times New Roman" w:cs="Times New Roman"/>
          <w:b/>
          <w:sz w:val="28"/>
          <w:szCs w:val="28"/>
          <w:lang w:val="uk-UA"/>
        </w:rPr>
        <w:t>1 407 000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 згідно з додатком № 1 цього рішення;</w:t>
      </w:r>
    </w:p>
    <w:p w:rsidR="00102D72" w:rsidRDefault="00102D72" w:rsidP="00102D72">
      <w:pPr>
        <w:tabs>
          <w:tab w:val="left" w:pos="142"/>
          <w:tab w:val="left" w:pos="54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видатки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бюджету у сумі </w:t>
      </w:r>
      <w:r w:rsidR="00D06237">
        <w:rPr>
          <w:rFonts w:ascii="Times New Roman" w:hAnsi="Times New Roman" w:cs="Times New Roman"/>
          <w:b/>
          <w:sz w:val="28"/>
          <w:szCs w:val="28"/>
          <w:lang w:val="uk-UA"/>
        </w:rPr>
        <w:t>203 754 350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гривень, в тому числі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видатки загального фонду сільського бюджету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694" w:rsidRPr="00FD5694">
        <w:rPr>
          <w:rFonts w:ascii="Times New Roman" w:hAnsi="Times New Roman" w:cs="Times New Roman"/>
          <w:b/>
          <w:sz w:val="28"/>
          <w:szCs w:val="28"/>
          <w:lang w:val="uk-UA"/>
        </w:rPr>
        <w:t>164 810 850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гривень та видатки спеціального фонду сільського бюджету – </w:t>
      </w:r>
      <w:r w:rsidR="00FD5694">
        <w:rPr>
          <w:rFonts w:ascii="Times New Roman" w:hAnsi="Times New Roman" w:cs="Times New Roman"/>
          <w:b/>
          <w:sz w:val="28"/>
          <w:szCs w:val="28"/>
          <w:lang w:val="uk-UA"/>
        </w:rPr>
        <w:t>38 943 500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гривень:</w:t>
      </w:r>
    </w:p>
    <w:p w:rsidR="00102D72" w:rsidRDefault="00102D72" w:rsidP="00102D72">
      <w:pPr>
        <w:tabs>
          <w:tab w:val="left" w:pos="142"/>
          <w:tab w:val="left" w:pos="540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повернення кредитів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місцевого бюджету у сумі 0 гривень, у тому числі повернення кредитів до загального фонду місцевого бюджету - 0 гривень та повернення кредитів до спеціального фонду місцевого бюджету - 0 гривень;</w:t>
      </w:r>
    </w:p>
    <w:p w:rsidR="00102D72" w:rsidRDefault="00102D72" w:rsidP="00102D72">
      <w:pPr>
        <w:tabs>
          <w:tab w:val="left" w:pos="142"/>
          <w:tab w:val="left" w:pos="540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надання кредитів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у сумі 0 гривень, у тому числі надання кредитів із загального фонду місцевого бюджету - 0 гривень та надання кредитів із спеціального фонду місцевого бюджету – 0 гривень;</w:t>
      </w:r>
    </w:p>
    <w:p w:rsidR="00102D72" w:rsidRDefault="00102D72" w:rsidP="00102D72">
      <w:pPr>
        <w:tabs>
          <w:tab w:val="left" w:pos="142"/>
          <w:tab w:val="left" w:pos="540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профіцит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загальним фондом місцевого бюджету у сумі </w:t>
      </w:r>
      <w:r w:rsidR="00CF4804">
        <w:rPr>
          <w:rFonts w:ascii="Times New Roman" w:hAnsi="Times New Roman" w:cs="Times New Roman"/>
          <w:b/>
          <w:sz w:val="28"/>
          <w:szCs w:val="28"/>
          <w:lang w:val="uk-UA"/>
        </w:rPr>
        <w:t>37 536 500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 згідно з додатком 2 до цього рішення;</w:t>
      </w:r>
    </w:p>
    <w:p w:rsidR="00102D72" w:rsidRDefault="00102D72" w:rsidP="00102D72">
      <w:pPr>
        <w:tabs>
          <w:tab w:val="left" w:pos="142"/>
          <w:tab w:val="left" w:pos="540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дефіцит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спеціальним фондом місцевого бюджету у сумі </w:t>
      </w:r>
      <w:r w:rsidR="00CF4804">
        <w:rPr>
          <w:rFonts w:ascii="Times New Roman" w:hAnsi="Times New Roman" w:cs="Times New Roman"/>
          <w:b/>
          <w:sz w:val="28"/>
          <w:szCs w:val="28"/>
          <w:lang w:val="uk-UA"/>
        </w:rPr>
        <w:t>37 536 500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 згідно з додатком 2 до цього рішення;</w:t>
      </w:r>
    </w:p>
    <w:p w:rsidR="0035575B" w:rsidRDefault="0035575B" w:rsidP="0035575B">
      <w:pPr>
        <w:tabs>
          <w:tab w:val="left" w:pos="142"/>
          <w:tab w:val="left" w:pos="540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-2-</w:t>
      </w:r>
    </w:p>
    <w:p w:rsidR="00102D72" w:rsidRDefault="00102D72" w:rsidP="00102D72">
      <w:pPr>
        <w:tabs>
          <w:tab w:val="left" w:pos="142"/>
          <w:tab w:val="left" w:pos="540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оборотний залишок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коштів сільського бюджету у розмірі </w:t>
      </w:r>
      <w:r w:rsidR="00CF48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16 481 </w:t>
      </w:r>
      <w:r>
        <w:rPr>
          <w:rFonts w:ascii="Times New Roman" w:hAnsi="Times New Roman" w:cs="Times New Roman"/>
          <w:sz w:val="28"/>
          <w:szCs w:val="28"/>
          <w:lang w:val="uk-UA"/>
        </w:rPr>
        <w:t>гривень, що становить 0,01% відсотків видатків загального фонду сільського бюджету, визначених цим пунктом;</w:t>
      </w:r>
    </w:p>
    <w:p w:rsidR="00102D72" w:rsidRDefault="00102D72" w:rsidP="00102D72">
      <w:pPr>
        <w:tabs>
          <w:tab w:val="left" w:pos="142"/>
          <w:tab w:val="left" w:pos="540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резервний фонд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бюджету у розмірі </w:t>
      </w:r>
      <w:r w:rsidR="00D06237">
        <w:rPr>
          <w:rFonts w:ascii="Times New Roman" w:hAnsi="Times New Roman" w:cs="Times New Roman"/>
          <w:b/>
          <w:sz w:val="28"/>
          <w:szCs w:val="28"/>
          <w:lang w:val="uk-UA"/>
        </w:rPr>
        <w:t>65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0 000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гривень, що становить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видатків загального фонду сільського бюджету, визначених цим пунктом.</w:t>
      </w:r>
    </w:p>
    <w:p w:rsidR="00102D72" w:rsidRDefault="00102D72" w:rsidP="00102D72">
      <w:pPr>
        <w:numPr>
          <w:ilvl w:val="1"/>
          <w:numId w:val="1"/>
        </w:numPr>
        <w:tabs>
          <w:tab w:val="left" w:pos="142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бюджетні призначення по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головному розпоряднику коштів сільського  бюджету на 202</w:t>
      </w:r>
      <w:r w:rsidR="00D06237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 розрізі відповідальних виконавців за бюджетними програмами/підпрограмами згідно з додатками 3, 4 до цього рішення.</w:t>
      </w:r>
    </w:p>
    <w:p w:rsidR="00102D72" w:rsidRDefault="00102D72" w:rsidP="00102D72">
      <w:pPr>
        <w:numPr>
          <w:ilvl w:val="1"/>
          <w:numId w:val="1"/>
        </w:numPr>
        <w:tabs>
          <w:tab w:val="left" w:pos="142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0623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міжбюджетні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трансферти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2D72" w:rsidRDefault="00102D72" w:rsidP="00102D72">
      <w:pPr>
        <w:numPr>
          <w:ilvl w:val="1"/>
          <w:numId w:val="1"/>
        </w:numPr>
        <w:tabs>
          <w:tab w:val="left" w:pos="142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на 202</w:t>
      </w:r>
      <w:r w:rsidR="00D0623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розподіл коштів бюджету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на здійснення заходів на будівництво, реконструкцію і реставрацію об'єктів виробничої, комунікаційної та соціальної інфраструктури за об'єктами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 6 до цього рішення.</w:t>
      </w:r>
    </w:p>
    <w:p w:rsidR="00102D72" w:rsidRDefault="00102D72" w:rsidP="00102D72">
      <w:pPr>
        <w:numPr>
          <w:ilvl w:val="1"/>
          <w:numId w:val="1"/>
        </w:numPr>
        <w:tabs>
          <w:tab w:val="left" w:pos="142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розподіл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сільського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бюджету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реалізацію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50D">
        <w:rPr>
          <w:rFonts w:ascii="Times New Roman" w:hAnsi="Times New Roman" w:cs="Times New Roman"/>
          <w:b/>
          <w:sz w:val="28"/>
          <w:szCs w:val="28"/>
          <w:lang w:val="uk-UA"/>
        </w:rPr>
        <w:t>42</w:t>
      </w:r>
      <w:proofErr w:type="gramEnd"/>
      <w:r w:rsidR="009E2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574 791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2D72" w:rsidRDefault="00102D72" w:rsidP="00102D72">
      <w:pPr>
        <w:numPr>
          <w:ilvl w:val="1"/>
          <w:numId w:val="1"/>
        </w:numPr>
        <w:tabs>
          <w:tab w:val="left" w:pos="142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Установити, що у загальному фонді сільського бюд</w:t>
      </w:r>
      <w:r w:rsidR="00EE6F33">
        <w:rPr>
          <w:rFonts w:ascii="Times New Roman" w:hAnsi="Times New Roman" w:cs="Times New Roman"/>
          <w:sz w:val="28"/>
          <w:szCs w:val="28"/>
          <w:lang w:val="uk-UA"/>
        </w:rPr>
        <w:t>жету на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до доходів загального фонду сільського бюджету належать доходи, визначені ст.69 Бюджетного кодексу України, та трансферти, визначені статтями 101 Бюджетного кодексу України. </w:t>
      </w:r>
    </w:p>
    <w:p w:rsidR="00102D72" w:rsidRDefault="00102D72" w:rsidP="00102D72">
      <w:pPr>
        <w:numPr>
          <w:ilvl w:val="1"/>
          <w:numId w:val="1"/>
        </w:numPr>
        <w:tabs>
          <w:tab w:val="left" w:pos="142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Установити, що джерелами формування спеціального </w:t>
      </w:r>
      <w:r w:rsidR="00D06237">
        <w:rPr>
          <w:rFonts w:ascii="Times New Roman" w:hAnsi="Times New Roman" w:cs="Times New Roman"/>
          <w:sz w:val="28"/>
          <w:szCs w:val="28"/>
          <w:lang w:val="uk-UA"/>
        </w:rPr>
        <w:t>фонду сільського бюджету на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у частині доходів є надходження, визначені статтями 69-1 Бюджетного кодексу України, а також такі надходження відповідно до Закону України "Про Державний бюджет України 202</w:t>
      </w:r>
      <w:r w:rsidR="00AB0B2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рік".</w:t>
      </w:r>
    </w:p>
    <w:p w:rsidR="00102D72" w:rsidRDefault="00D06237" w:rsidP="00102D72">
      <w:pPr>
        <w:numPr>
          <w:ilvl w:val="1"/>
          <w:numId w:val="1"/>
        </w:numPr>
        <w:tabs>
          <w:tab w:val="left" w:pos="142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Установити, що у 2022</w:t>
      </w:r>
      <w:r w:rsidR="00102D72">
        <w:rPr>
          <w:rFonts w:ascii="Times New Roman" w:hAnsi="Times New Roman" w:cs="Times New Roman"/>
          <w:sz w:val="28"/>
          <w:szCs w:val="28"/>
          <w:lang w:val="uk-UA"/>
        </w:rPr>
        <w:t xml:space="preserve"> році кошти, отримані до спеціального фонду сільського бюджету згідно з відповідними пунктами частини 1 статті 71 Бюджетного кодексу України, спрямовуються на реалізацію заходів, визначених частиною 3 статті 71 Бюджетного кодексу України.</w:t>
      </w:r>
    </w:p>
    <w:p w:rsidR="00102D72" w:rsidRDefault="00D06237" w:rsidP="00102D72">
      <w:pPr>
        <w:numPr>
          <w:ilvl w:val="1"/>
          <w:numId w:val="1"/>
        </w:numPr>
        <w:tabs>
          <w:tab w:val="left" w:pos="142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на 2022 </w:t>
      </w:r>
      <w:r w:rsidR="00102D72">
        <w:rPr>
          <w:rFonts w:ascii="Times New Roman" w:hAnsi="Times New Roman" w:cs="Times New Roman"/>
          <w:sz w:val="28"/>
          <w:szCs w:val="28"/>
          <w:lang w:val="uk-UA"/>
        </w:rPr>
        <w:t>рік відповідно до статті 55 Бюджетного кодексу України захищеними видатками сільського бюджету видатки загального фонду за їх економічною структурою на:</w:t>
      </w:r>
    </w:p>
    <w:p w:rsidR="00102D72" w:rsidRDefault="00102D72" w:rsidP="00102D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Оплата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(211</w:t>
      </w:r>
      <w:r w:rsidR="00A149BE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);  </w:t>
      </w:r>
    </w:p>
    <w:p w:rsidR="00102D72" w:rsidRDefault="00102D72" w:rsidP="00102D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</w:t>
      </w:r>
      <w:r w:rsidR="00A149BE">
        <w:rPr>
          <w:sz w:val="28"/>
          <w:szCs w:val="28"/>
        </w:rPr>
        <w:t>арахування</w:t>
      </w:r>
      <w:proofErr w:type="spellEnd"/>
      <w:r w:rsidR="00A149BE">
        <w:rPr>
          <w:sz w:val="28"/>
          <w:szCs w:val="28"/>
        </w:rPr>
        <w:t xml:space="preserve"> на оплату </w:t>
      </w:r>
      <w:proofErr w:type="spellStart"/>
      <w:r w:rsidR="00A149BE">
        <w:rPr>
          <w:sz w:val="28"/>
          <w:szCs w:val="28"/>
        </w:rPr>
        <w:t>праці</w:t>
      </w:r>
      <w:proofErr w:type="spellEnd"/>
      <w:r w:rsidR="00A149BE">
        <w:rPr>
          <w:sz w:val="28"/>
          <w:szCs w:val="28"/>
        </w:rPr>
        <w:t xml:space="preserve"> (2120</w:t>
      </w:r>
      <w:r>
        <w:rPr>
          <w:sz w:val="28"/>
          <w:szCs w:val="28"/>
        </w:rPr>
        <w:t>);</w:t>
      </w:r>
    </w:p>
    <w:p w:rsidR="00102D72" w:rsidRDefault="00102D72" w:rsidP="00102D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медикаментів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перев’язувального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 xml:space="preserve"> (</w:t>
      </w:r>
      <w:r w:rsidR="00A149BE">
        <w:rPr>
          <w:sz w:val="28"/>
          <w:szCs w:val="28"/>
          <w:lang w:val="uk-UA"/>
        </w:rPr>
        <w:t>2</w:t>
      </w:r>
      <w:r w:rsidR="00B91B33">
        <w:rPr>
          <w:sz w:val="28"/>
          <w:szCs w:val="28"/>
          <w:lang w:val="uk-UA"/>
        </w:rPr>
        <w:t>220</w:t>
      </w:r>
      <w:r>
        <w:rPr>
          <w:sz w:val="28"/>
          <w:szCs w:val="28"/>
        </w:rPr>
        <w:t>);</w:t>
      </w:r>
    </w:p>
    <w:p w:rsidR="00102D72" w:rsidRDefault="00102D72" w:rsidP="00102D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продуктами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(2230);</w:t>
      </w:r>
    </w:p>
    <w:p w:rsidR="00102D72" w:rsidRDefault="00102D72" w:rsidP="00102D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Оплата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енергоносіїв</w:t>
      </w:r>
      <w:proofErr w:type="spellEnd"/>
      <w:r>
        <w:rPr>
          <w:sz w:val="28"/>
          <w:szCs w:val="28"/>
        </w:rPr>
        <w:t xml:space="preserve"> (2270);</w:t>
      </w:r>
    </w:p>
    <w:p w:rsidR="00102D72" w:rsidRDefault="00102D72" w:rsidP="00102D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E250D">
        <w:rPr>
          <w:sz w:val="28"/>
          <w:szCs w:val="28"/>
          <w:lang w:val="uk-UA"/>
        </w:rPr>
        <w:t>Трансферти населенню</w:t>
      </w:r>
      <w:bookmarkStart w:id="2" w:name="_GoBack"/>
      <w:bookmarkEnd w:id="2"/>
      <w:r w:rsidR="009E25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(2700). </w:t>
      </w:r>
    </w:p>
    <w:p w:rsidR="0035575B" w:rsidRDefault="006A24A7" w:rsidP="00102D7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 Затвердити  перелік бюджетних установ, закладів, видатки на забезпечення діяльності яких здійснюється  з бюджету територіальної громади, відповідно </w:t>
      </w:r>
    </w:p>
    <w:p w:rsidR="0035575B" w:rsidRDefault="0035575B" w:rsidP="0035575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-3-</w:t>
      </w:r>
    </w:p>
    <w:p w:rsidR="006A24A7" w:rsidRPr="006A24A7" w:rsidRDefault="006A24A7" w:rsidP="00102D7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розмежування видатків між бюджетами, визначеного Бюджетним кодексом України (Додаток 8). </w:t>
      </w:r>
    </w:p>
    <w:p w:rsidR="00102D72" w:rsidRDefault="00102D72" w:rsidP="00102D72">
      <w:pPr>
        <w:numPr>
          <w:ilvl w:val="1"/>
          <w:numId w:val="1"/>
        </w:numPr>
        <w:tabs>
          <w:tab w:val="left" w:pos="142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43 та 73 Бюджетного кодексу України надати право </w:t>
      </w:r>
      <w:proofErr w:type="spellStart"/>
      <w:r w:rsidR="00A149BE">
        <w:rPr>
          <w:rFonts w:ascii="Times New Roman" w:hAnsi="Times New Roman" w:cs="Times New Roman"/>
          <w:sz w:val="28"/>
          <w:szCs w:val="28"/>
          <w:lang w:val="uk-UA"/>
        </w:rPr>
        <w:t>Гатненській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 отримувати у порядку, визначеному Кабінетом Міністрів України:</w:t>
      </w:r>
    </w:p>
    <w:p w:rsidR="00102D72" w:rsidRDefault="00102D72" w:rsidP="00102D72">
      <w:pPr>
        <w:numPr>
          <w:ilvl w:val="0"/>
          <w:numId w:val="2"/>
        </w:numPr>
        <w:tabs>
          <w:tab w:val="left" w:pos="142"/>
          <w:tab w:val="left" w:pos="540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позики на покриття тимчасових касових розривів сільського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кінця поточного бюджетного періоду.</w:t>
      </w:r>
    </w:p>
    <w:p w:rsidR="00102D72" w:rsidRDefault="00102D72" w:rsidP="00102D72">
      <w:pPr>
        <w:numPr>
          <w:ilvl w:val="1"/>
          <w:numId w:val="1"/>
        </w:numPr>
        <w:tabs>
          <w:tab w:val="left" w:pos="142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головному розпоряднику коштів сільського бюджету виконання норм Бюджетного кодексу України стосовно:</w:t>
      </w:r>
    </w:p>
    <w:p w:rsidR="00102D72" w:rsidRDefault="00102D72" w:rsidP="00102D7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паспортів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45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з дня </w:t>
      </w:r>
      <w:proofErr w:type="spellStart"/>
      <w:r>
        <w:rPr>
          <w:sz w:val="28"/>
          <w:szCs w:val="28"/>
        </w:rPr>
        <w:t>набрання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>;</w:t>
      </w:r>
    </w:p>
    <w:p w:rsidR="00102D72" w:rsidRDefault="00102D72" w:rsidP="00102D7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бюджетними</w:t>
      </w:r>
      <w:proofErr w:type="spellEnd"/>
      <w:r>
        <w:rPr>
          <w:sz w:val="28"/>
          <w:szCs w:val="28"/>
        </w:rPr>
        <w:t xml:space="preserve"> коштами у межах </w:t>
      </w:r>
      <w:proofErr w:type="spellStart"/>
      <w:r>
        <w:rPr>
          <w:sz w:val="28"/>
          <w:szCs w:val="28"/>
        </w:rPr>
        <w:t>встановлених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результативне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цільове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координацію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одержувачів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у бюджетному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>;</w:t>
      </w:r>
    </w:p>
    <w:p w:rsidR="00102D72" w:rsidRDefault="00102D72" w:rsidP="00102D7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контролю за </w:t>
      </w:r>
      <w:proofErr w:type="spellStart"/>
      <w:r>
        <w:rPr>
          <w:sz w:val="28"/>
          <w:szCs w:val="28"/>
        </w:rPr>
        <w:t>своєчасним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поверненням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обсязі</w:t>
      </w:r>
      <w:proofErr w:type="spellEnd"/>
      <w:r>
        <w:rPr>
          <w:sz w:val="28"/>
          <w:szCs w:val="28"/>
        </w:rPr>
        <w:t xml:space="preserve"> до бюджету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наданих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операціями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кредитування</w:t>
      </w:r>
      <w:proofErr w:type="spellEnd"/>
      <w:r>
        <w:rPr>
          <w:sz w:val="28"/>
          <w:szCs w:val="28"/>
        </w:rPr>
        <w:t xml:space="preserve"> бюджету,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кредитів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позик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отриманих</w:t>
      </w:r>
      <w:proofErr w:type="spellEnd"/>
      <w:r>
        <w:rPr>
          <w:sz w:val="28"/>
          <w:szCs w:val="28"/>
        </w:rPr>
        <w:t xml:space="preserve"> Автономною </w:t>
      </w:r>
      <w:proofErr w:type="spellStart"/>
      <w:r>
        <w:rPr>
          <w:sz w:val="28"/>
          <w:szCs w:val="28"/>
        </w:rPr>
        <w:t>Республікою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територіальною</w:t>
      </w:r>
      <w:proofErr w:type="spellEnd"/>
      <w:r>
        <w:rPr>
          <w:sz w:val="28"/>
          <w:szCs w:val="28"/>
        </w:rPr>
        <w:t xml:space="preserve"> громадою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гарантії</w:t>
      </w:r>
      <w:proofErr w:type="spellEnd"/>
      <w:r>
        <w:rPr>
          <w:sz w:val="28"/>
          <w:szCs w:val="28"/>
        </w:rPr>
        <w:t>;</w:t>
      </w:r>
    </w:p>
    <w:p w:rsidR="00102D72" w:rsidRDefault="00102D72" w:rsidP="00102D7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доступності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про бюджет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>:</w:t>
      </w:r>
    </w:p>
    <w:p w:rsidR="00102D72" w:rsidRDefault="00102D72" w:rsidP="00102D72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публікації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про бюджет за </w:t>
      </w:r>
      <w:proofErr w:type="spellStart"/>
      <w:r>
        <w:rPr>
          <w:sz w:val="28"/>
          <w:szCs w:val="28"/>
        </w:rPr>
        <w:t>бюджетними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показниками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бюджетні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та за формою, </w:t>
      </w:r>
      <w:proofErr w:type="spellStart"/>
      <w:r>
        <w:rPr>
          <w:sz w:val="28"/>
          <w:szCs w:val="28"/>
        </w:rPr>
        <w:t>встановленими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Міністерством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до 15 </w:t>
      </w:r>
      <w:proofErr w:type="spellStart"/>
      <w:r>
        <w:rPr>
          <w:sz w:val="28"/>
          <w:szCs w:val="28"/>
        </w:rPr>
        <w:t>березня</w:t>
      </w:r>
      <w:proofErr w:type="spellEnd"/>
      <w:r>
        <w:rPr>
          <w:sz w:val="28"/>
          <w:szCs w:val="28"/>
        </w:rPr>
        <w:t xml:space="preserve"> 202 року;</w:t>
      </w:r>
    </w:p>
    <w:p w:rsidR="00102D72" w:rsidRDefault="00102D72" w:rsidP="00102D72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оприлюднення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паспортів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триденний</w:t>
      </w:r>
      <w:proofErr w:type="spellEnd"/>
      <w:r>
        <w:rPr>
          <w:sz w:val="28"/>
          <w:szCs w:val="28"/>
        </w:rPr>
        <w:t xml:space="preserve"> строк з дня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>;</w:t>
      </w:r>
    </w:p>
    <w:p w:rsidR="00102D72" w:rsidRDefault="00102D72" w:rsidP="00102D7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взяття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зобов'язань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довгострокових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зобов'язань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енергосервісом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</w:t>
      </w:r>
      <w:proofErr w:type="spellEnd"/>
      <w:r>
        <w:rPr>
          <w:sz w:val="28"/>
          <w:szCs w:val="28"/>
        </w:rPr>
        <w:t xml:space="preserve"> бюджету;</w:t>
      </w:r>
    </w:p>
    <w:p w:rsidR="0035575B" w:rsidRDefault="00102D72" w:rsidP="00102D7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розрахунків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електричну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теплову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водовідведення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природний</w:t>
      </w:r>
      <w:proofErr w:type="spellEnd"/>
      <w:r>
        <w:rPr>
          <w:sz w:val="28"/>
          <w:szCs w:val="28"/>
        </w:rPr>
        <w:t xml:space="preserve"> газ та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зв'язку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споживаються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укладання</w:t>
      </w:r>
      <w:proofErr w:type="spellEnd"/>
      <w:r>
        <w:rPr>
          <w:sz w:val="28"/>
          <w:szCs w:val="28"/>
        </w:rPr>
        <w:t xml:space="preserve"> </w:t>
      </w:r>
    </w:p>
    <w:p w:rsidR="0035575B" w:rsidRPr="0035575B" w:rsidRDefault="0035575B" w:rsidP="0035575B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-4-</w:t>
      </w:r>
    </w:p>
    <w:p w:rsidR="00102D72" w:rsidRDefault="00102D72" w:rsidP="0035575B">
      <w:pPr>
        <w:pStyle w:val="a3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договорів</w:t>
      </w:r>
      <w:proofErr w:type="spellEnd"/>
      <w:proofErr w:type="gram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кожним</w:t>
      </w:r>
      <w:proofErr w:type="spellEnd"/>
      <w:r>
        <w:rPr>
          <w:sz w:val="28"/>
          <w:szCs w:val="28"/>
        </w:rPr>
        <w:t xml:space="preserve"> видом </w:t>
      </w:r>
      <w:proofErr w:type="spellStart"/>
      <w:r>
        <w:rPr>
          <w:sz w:val="28"/>
          <w:szCs w:val="28"/>
        </w:rPr>
        <w:t>енергоносіїв</w:t>
      </w:r>
      <w:proofErr w:type="spellEnd"/>
      <w:r>
        <w:rPr>
          <w:sz w:val="28"/>
          <w:szCs w:val="28"/>
        </w:rPr>
        <w:t xml:space="preserve"> у межах </w:t>
      </w:r>
      <w:proofErr w:type="spellStart"/>
      <w:r>
        <w:rPr>
          <w:sz w:val="28"/>
          <w:szCs w:val="28"/>
        </w:rPr>
        <w:t>встановлених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обґрунтованих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лімітів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.</w:t>
      </w:r>
    </w:p>
    <w:p w:rsidR="00102D72" w:rsidRDefault="00102D72" w:rsidP="00102D72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Встановити, що розпорядженням сільського голови протягом бюджетного періоду в виняткових випадках дозволяється здійснювати перерозподіл видатків за економічною класифікацією в межах загального обсягу бюджетних призначень по за</w:t>
      </w:r>
      <w:r w:rsidR="00D0623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6A24A7">
        <w:rPr>
          <w:rFonts w:ascii="Times New Roman" w:hAnsi="Times New Roman" w:cs="Times New Roman"/>
          <w:sz w:val="28"/>
          <w:szCs w:val="28"/>
          <w:lang w:val="uk-UA"/>
        </w:rPr>
        <w:t>альному та спеціальному фондах.</w:t>
      </w:r>
    </w:p>
    <w:p w:rsidR="006A24A7" w:rsidRDefault="006A24A7" w:rsidP="00102D72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Делегувати сільському голові повноваження в процесі виконання місцевого бюджету (міжсесійний період) збільшувати (зменшувати) обсяги дохідної та видаткової частин сільського бюджету в разі збільшення (зменшення) обсягів міжбюджетних трансфертів з державного бюджету України та місцевих бюджетів, здійснювати їх розподіл, а також перерозподіл обсягів затверджених міжбюджетних трансфертів між розпорядниками коштів місцевого бюджету та заключати договори щодо умов субвенції з сільського бюджету та отримання їх з інших бюджетів.</w:t>
      </w:r>
    </w:p>
    <w:p w:rsidR="00102D72" w:rsidRDefault="00102D72" w:rsidP="00102D72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Дане рішення набирає чинності 1 січня 202</w:t>
      </w:r>
      <w:r w:rsidR="006A24A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102D72" w:rsidRDefault="00102D72" w:rsidP="00102D72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 № 1-</w:t>
      </w:r>
      <w:r w:rsidR="006A24A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цього рішення є його невід’ємною частиною.</w:t>
      </w:r>
    </w:p>
    <w:p w:rsidR="00102D72" w:rsidRDefault="00102D72" w:rsidP="00102D72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Дане рішення оприлюднити в десятиденний строк з дня його прийняття відповідно до частини четвертої статті 28 Бюджетного кодексу України.</w:t>
      </w:r>
    </w:p>
    <w:p w:rsidR="00102D72" w:rsidRDefault="00102D72" w:rsidP="00102D72">
      <w:pPr>
        <w:tabs>
          <w:tab w:val="left" w:pos="567"/>
          <w:tab w:val="left" w:pos="851"/>
          <w:tab w:val="num" w:pos="108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</w:p>
    <w:p w:rsidR="00102D72" w:rsidRDefault="00D06237" w:rsidP="00102D72">
      <w:pPr>
        <w:pStyle w:val="a3"/>
        <w:spacing w:before="0" w:beforeAutospacing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</w:t>
      </w:r>
      <w:r w:rsidR="00102D72">
        <w:rPr>
          <w:b/>
          <w:bCs/>
          <w:sz w:val="28"/>
          <w:szCs w:val="28"/>
          <w:lang w:val="uk-UA"/>
        </w:rPr>
        <w:t xml:space="preserve">ільський голова                                            </w:t>
      </w:r>
      <w:r w:rsidR="00A65E00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>Олександр ПАЛАМАРЧУК</w:t>
      </w:r>
    </w:p>
    <w:p w:rsidR="00102D72" w:rsidRDefault="00102D72" w:rsidP="00102D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2DCE" w:rsidRPr="00102D72" w:rsidRDefault="00D32DCE">
      <w:pPr>
        <w:rPr>
          <w:lang w:val="uk-UA"/>
        </w:rPr>
      </w:pPr>
    </w:p>
    <w:sectPr w:rsidR="00D32DCE" w:rsidRPr="00102D72" w:rsidSect="00AB0B2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575F2"/>
    <w:multiLevelType w:val="multilevel"/>
    <w:tmpl w:val="9618A9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376086"/>
    <w:multiLevelType w:val="hybridMultilevel"/>
    <w:tmpl w:val="6D643676"/>
    <w:lvl w:ilvl="0" w:tplc="FADC95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34"/>
    <w:rsid w:val="00102D72"/>
    <w:rsid w:val="001457ED"/>
    <w:rsid w:val="0016434E"/>
    <w:rsid w:val="00225134"/>
    <w:rsid w:val="002A3407"/>
    <w:rsid w:val="0035575B"/>
    <w:rsid w:val="00454E92"/>
    <w:rsid w:val="00461AB7"/>
    <w:rsid w:val="004B2963"/>
    <w:rsid w:val="006A24A7"/>
    <w:rsid w:val="00740425"/>
    <w:rsid w:val="00846777"/>
    <w:rsid w:val="00892929"/>
    <w:rsid w:val="008B6B72"/>
    <w:rsid w:val="008E05A5"/>
    <w:rsid w:val="009E250D"/>
    <w:rsid w:val="00A149BE"/>
    <w:rsid w:val="00A65E00"/>
    <w:rsid w:val="00AB0B2F"/>
    <w:rsid w:val="00B67975"/>
    <w:rsid w:val="00B91B33"/>
    <w:rsid w:val="00CF4804"/>
    <w:rsid w:val="00D06237"/>
    <w:rsid w:val="00D32DCE"/>
    <w:rsid w:val="00D362C8"/>
    <w:rsid w:val="00D3714B"/>
    <w:rsid w:val="00EE6F33"/>
    <w:rsid w:val="00FC54B0"/>
    <w:rsid w:val="00FD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472EC-D640-42FA-B58A-6611B927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D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2D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заголовок 4"/>
    <w:basedOn w:val="a"/>
    <w:next w:val="a"/>
    <w:uiPriority w:val="99"/>
    <w:rsid w:val="00102D72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D388E-164D-46A9-9F09-7D250F0E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2021-12-29T08:19:00Z</cp:lastPrinted>
  <dcterms:created xsi:type="dcterms:W3CDTF">2021-12-21T12:46:00Z</dcterms:created>
  <dcterms:modified xsi:type="dcterms:W3CDTF">2021-12-29T08:47:00Z</dcterms:modified>
</cp:coreProperties>
</file>