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33EF" w:rsidRPr="00EA1B0A" w:rsidRDefault="000033EF" w:rsidP="000033EF">
      <w:pPr>
        <w:pStyle w:val="7"/>
        <w:jc w:val="center"/>
        <w:rPr>
          <w:bCs/>
          <w:i/>
        </w:rPr>
      </w:pPr>
      <w:r w:rsidRPr="00EA1B0A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color="window">
            <v:imagedata r:id="rId4" o:title=""/>
          </v:shape>
          <o:OLEObject Type="Embed" ProgID="Word.Picture.8" ShapeID="_x0000_i1025" DrawAspect="Content" ObjectID="_1722687664" r:id="rId5"/>
        </w:object>
      </w:r>
    </w:p>
    <w:p w:rsidR="000033EF" w:rsidRDefault="000033EF" w:rsidP="000033EF">
      <w:pPr>
        <w:pStyle w:val="7"/>
        <w:jc w:val="center"/>
        <w:rPr>
          <w:b/>
          <w:szCs w:val="32"/>
        </w:rPr>
      </w:pPr>
      <w:r w:rsidRPr="003F0ACC">
        <w:rPr>
          <w:b/>
          <w:szCs w:val="32"/>
        </w:rPr>
        <w:t xml:space="preserve">ГАТНЕНСЬКА СІЛЬСЬКА РАДА </w:t>
      </w:r>
    </w:p>
    <w:p w:rsidR="000033EF" w:rsidRPr="003F0ACC" w:rsidRDefault="000033EF" w:rsidP="000033EF">
      <w:pPr>
        <w:pStyle w:val="7"/>
        <w:jc w:val="center"/>
        <w:rPr>
          <w:b/>
          <w:bCs/>
          <w:szCs w:val="32"/>
        </w:rPr>
      </w:pPr>
      <w:r w:rsidRPr="003F0ACC">
        <w:rPr>
          <w:b/>
          <w:szCs w:val="32"/>
        </w:rPr>
        <w:t>ФАСТІВСЬКОГО РАЙОНУ КИЇВСЬКОЇ ОБЛАСТІ</w:t>
      </w:r>
    </w:p>
    <w:p w:rsidR="000033EF" w:rsidRPr="00082CDB" w:rsidRDefault="000033EF" w:rsidP="000033EF">
      <w:pPr>
        <w:pStyle w:val="1"/>
        <w:spacing w:line="312" w:lineRule="auto"/>
        <w:ind w:right="45" w:firstLine="0"/>
        <w:jc w:val="center"/>
        <w:rPr>
          <w:sz w:val="32"/>
          <w:szCs w:val="32"/>
        </w:rPr>
      </w:pPr>
      <w:r>
        <w:rPr>
          <w:sz w:val="32"/>
          <w:szCs w:val="32"/>
        </w:rPr>
        <w:t>ФІНАНСОВО-ЕКОНОМІЧНЕ УПРАВЛІННЯ</w:t>
      </w:r>
    </w:p>
    <w:p w:rsidR="000033EF" w:rsidRPr="00082CDB" w:rsidRDefault="000033EF" w:rsidP="000033EF">
      <w:pPr>
        <w:pStyle w:val="1"/>
        <w:spacing w:line="312" w:lineRule="auto"/>
        <w:ind w:right="45" w:firstLine="0"/>
        <w:jc w:val="center"/>
        <w:rPr>
          <w:bCs/>
          <w:sz w:val="32"/>
          <w:szCs w:val="32"/>
        </w:rPr>
      </w:pPr>
      <w:r>
        <w:rPr>
          <w:sz w:val="32"/>
          <w:szCs w:val="32"/>
        </w:rPr>
        <w:t>ГАТНЕНСЬКОЇ СІЛЬСЬКОЇ РАДИ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033EF" w:rsidRPr="001C0368" w:rsidTr="005A470F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0033EF" w:rsidRPr="00EA1B0A" w:rsidRDefault="000033EF" w:rsidP="005A470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08170 </w:t>
            </w:r>
            <w:r>
              <w:rPr>
                <w:rFonts w:ascii="Times New Roman" w:hAnsi="Times New Roman" w:cs="Times New Roman"/>
                <w:lang w:val="uk-UA"/>
              </w:rPr>
              <w:t>Київська область Києво-Святошинський район</w:t>
            </w:r>
            <w:r w:rsidRPr="00EA1B0A">
              <w:rPr>
                <w:rFonts w:ascii="Times New Roman" w:hAnsi="Times New Roman" w:cs="Times New Roman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Віта-Поштова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1B0A">
              <w:rPr>
                <w:rFonts w:ascii="Times New Roman" w:hAnsi="Times New Roman" w:cs="Times New Roman"/>
              </w:rPr>
              <w:t>Боярська</w:t>
            </w:r>
            <w:proofErr w:type="spellEnd"/>
            <w:r w:rsidRPr="00EA1B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буд.</w:t>
            </w:r>
            <w:r w:rsidRPr="00EA1B0A">
              <w:rPr>
                <w:rFonts w:ascii="Times New Roman" w:hAnsi="Times New Roman" w:cs="Times New Roman"/>
              </w:rPr>
              <w:t xml:space="preserve"> 4, тел. </w:t>
            </w:r>
            <w:r w:rsidRPr="00AC6460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  <w:lang w:val="uk-UA"/>
              </w:rPr>
              <w:t>63</w:t>
            </w:r>
            <w:r w:rsidRPr="00AC646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137-90-70</w:t>
            </w:r>
            <w:r w:rsidRPr="00AC6460">
              <w:rPr>
                <w:rFonts w:ascii="Times New Roman" w:hAnsi="Times New Roman" w:cs="Times New Roman"/>
              </w:rPr>
              <w:t xml:space="preserve">, </w:t>
            </w:r>
            <w:r w:rsidRPr="00EA1B0A">
              <w:rPr>
                <w:rFonts w:ascii="Times New Roman" w:hAnsi="Times New Roman" w:cs="Times New Roman"/>
                <w:lang w:val="uk-UA"/>
              </w:rPr>
              <w:t xml:space="preserve">код ЄДРПОУ: </w:t>
            </w:r>
            <w:r>
              <w:rPr>
                <w:rFonts w:ascii="Times New Roman" w:hAnsi="Times New Roman" w:cs="Times New Roman"/>
                <w:lang w:val="uk-UA"/>
              </w:rPr>
              <w:t>43988886</w:t>
            </w:r>
          </w:p>
          <w:p w:rsidR="000033EF" w:rsidRPr="001D1CB8" w:rsidRDefault="000033EF" w:rsidP="005A470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1D1CB8">
              <w:rPr>
                <w:rFonts w:ascii="Times New Roman" w:hAnsi="Times New Roman" w:cs="Times New Roman"/>
                <w:u w:val="single"/>
              </w:rPr>
              <w:t>-</w:t>
            </w: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1D1CB8"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FinYprGatne</w:t>
            </w:r>
            <w:proofErr w:type="spellEnd"/>
            <w:r w:rsidRPr="001D1CB8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ukr</w:t>
            </w:r>
            <w:proofErr w:type="spellEnd"/>
            <w:r w:rsidRPr="001D1CB8">
              <w:rPr>
                <w:rFonts w:ascii="Times New Roman" w:hAnsi="Times New Roman" w:cs="Times New Roman"/>
                <w:u w:val="single"/>
              </w:rPr>
              <w:t>.</w:t>
            </w:r>
            <w:r w:rsidRPr="00EA1B0A">
              <w:rPr>
                <w:rFonts w:ascii="Times New Roman" w:hAnsi="Times New Roman" w:cs="Times New Roman"/>
                <w:u w:val="single"/>
                <w:lang w:val="en-US"/>
              </w:rPr>
              <w:t>net</w:t>
            </w:r>
          </w:p>
        </w:tc>
      </w:tr>
    </w:tbl>
    <w:p w:rsidR="009C4C27" w:rsidRPr="008828CD" w:rsidRDefault="009C4C27" w:rsidP="00EA1B0A">
      <w:pPr>
        <w:spacing w:after="0"/>
        <w:rPr>
          <w:rFonts w:ascii="Times New Roman" w:hAnsi="Times New Roman" w:cs="Times New Roman"/>
        </w:rPr>
      </w:pPr>
    </w:p>
    <w:p w:rsidR="009C4C27" w:rsidRPr="00666E4A" w:rsidRDefault="009C4C27" w:rsidP="00EA1B0A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9C4C27" w:rsidRPr="00666E4A" w:rsidRDefault="009C4C27" w:rsidP="009C4C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6E4A">
        <w:rPr>
          <w:rFonts w:ascii="Times New Roman" w:hAnsi="Times New Roman" w:cs="Times New Roman"/>
          <w:b/>
          <w:i/>
          <w:sz w:val="28"/>
          <w:szCs w:val="28"/>
          <w:lang w:val="uk-UA"/>
        </w:rPr>
        <w:t>Офіційний висновок</w:t>
      </w:r>
    </w:p>
    <w:p w:rsidR="00666E4A" w:rsidRDefault="00666E4A" w:rsidP="009C4C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Default="00B34A84" w:rsidP="00B34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Подає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висновок про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недо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дохідної частини загального фонду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підсумками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38A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місяців (січень-</w:t>
      </w:r>
      <w:r w:rsidR="00AF5AEC">
        <w:rPr>
          <w:rFonts w:ascii="Times New Roman" w:hAnsi="Times New Roman" w:cs="Times New Roman"/>
          <w:sz w:val="28"/>
          <w:szCs w:val="28"/>
          <w:lang w:val="uk-UA"/>
        </w:rPr>
        <w:t>черв</w:t>
      </w:r>
      <w:r>
        <w:rPr>
          <w:rFonts w:ascii="Times New Roman" w:hAnsi="Times New Roman" w:cs="Times New Roman"/>
          <w:sz w:val="28"/>
          <w:szCs w:val="28"/>
          <w:lang w:val="uk-UA"/>
        </w:rPr>
        <w:t>ень) 20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34A84" w:rsidRDefault="008828CD" w:rsidP="002A1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розписом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(без врахування трансфертів) 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>на січень-</w:t>
      </w:r>
      <w:r w:rsidR="00AF5AEC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року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сімдесят вісім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мільйонів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сімсот тридцять вісім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сто дві гривні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78 738 102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 xml:space="preserve"> грн. 00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83193C">
        <w:rPr>
          <w:rFonts w:ascii="Times New Roman" w:hAnsi="Times New Roman" w:cs="Times New Roman"/>
          <w:sz w:val="28"/>
          <w:szCs w:val="28"/>
          <w:lang w:val="uk-UA"/>
        </w:rPr>
        <w:t xml:space="preserve">), виконано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чотири </w:t>
      </w:r>
      <w:r w:rsidR="00D86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>мільйон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чотириста тридцять три 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чотириста чотирнадцять </w:t>
      </w:r>
      <w:r w:rsidR="00021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4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>рив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3193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C00A0" w:rsidRPr="00C15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76 </w:t>
      </w:r>
      <w:r w:rsidR="002A148A">
        <w:rPr>
          <w:rFonts w:ascii="Times New Roman" w:hAnsi="Times New Roman" w:cs="Times New Roman"/>
          <w:sz w:val="28"/>
          <w:szCs w:val="28"/>
          <w:lang w:val="uk-UA"/>
        </w:rPr>
        <w:t>коп</w:t>
      </w:r>
      <w:r w:rsidR="00D868B6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868B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7C00A0" w:rsidRPr="002A148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54 433 414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76 </w:t>
      </w:r>
      <w:r w:rsidR="00C15545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7C00A0" w:rsidRPr="002A14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 xml:space="preserve">, відсоток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недо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 xml:space="preserve"> складає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69,13</w:t>
      </w:r>
      <w:r w:rsidR="00531759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AC2D80" w:rsidRDefault="00531759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Факт недо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дохідної частини загального фонду сільського бюджету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 на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 відсотків згідно п.7 статті 78 Бюджетно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є підставою для внесення змін до рішення сільської ради </w:t>
      </w:r>
      <w:r w:rsidR="00B92D3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B6B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8CD" w:rsidRPr="008828C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17/2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затвердження бюджету Гатненської сільської територіальної громади на 202</w:t>
      </w:r>
      <w:r w:rsidR="000033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2D80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AC2D8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D8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D80" w:rsidRPr="007C00A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Pr="008828CD" w:rsidRDefault="00B34A84" w:rsidP="00B34A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33EF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Ольга БОБРУЙКО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122"/>
        <w:gridCol w:w="1121"/>
        <w:gridCol w:w="621"/>
        <w:gridCol w:w="1104"/>
        <w:gridCol w:w="448"/>
        <w:gridCol w:w="759"/>
        <w:gridCol w:w="276"/>
        <w:gridCol w:w="293"/>
        <w:gridCol w:w="241"/>
        <w:gridCol w:w="862"/>
      </w:tblGrid>
      <w:tr w:rsidR="009C4C27" w:rsidRPr="00B34A84" w:rsidTr="009C4C27">
        <w:tc>
          <w:tcPr>
            <w:tcW w:w="1329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3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Align w:val="center"/>
            <w:hideMark/>
          </w:tcPr>
          <w:p w:rsidR="009C4C27" w:rsidRPr="00B34A84" w:rsidRDefault="009C4C27" w:rsidP="00B3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C4C27" w:rsidRDefault="009C4C27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A"/>
    <w:rsid w:val="000033EF"/>
    <w:rsid w:val="0002138A"/>
    <w:rsid w:val="0009053E"/>
    <w:rsid w:val="0009424A"/>
    <w:rsid w:val="000E6FDE"/>
    <w:rsid w:val="0012795D"/>
    <w:rsid w:val="00280E5D"/>
    <w:rsid w:val="002A148A"/>
    <w:rsid w:val="00347B1F"/>
    <w:rsid w:val="003D4AAC"/>
    <w:rsid w:val="004F5950"/>
    <w:rsid w:val="00531759"/>
    <w:rsid w:val="005B6B8E"/>
    <w:rsid w:val="00666E4A"/>
    <w:rsid w:val="00671F01"/>
    <w:rsid w:val="006F043E"/>
    <w:rsid w:val="007C00A0"/>
    <w:rsid w:val="007D01C5"/>
    <w:rsid w:val="0083193C"/>
    <w:rsid w:val="00877F2C"/>
    <w:rsid w:val="008828CD"/>
    <w:rsid w:val="009C4C27"/>
    <w:rsid w:val="00A62421"/>
    <w:rsid w:val="00A646F3"/>
    <w:rsid w:val="00AC2D80"/>
    <w:rsid w:val="00AF5AEC"/>
    <w:rsid w:val="00B34A84"/>
    <w:rsid w:val="00B92D38"/>
    <w:rsid w:val="00BA2C2B"/>
    <w:rsid w:val="00C15545"/>
    <w:rsid w:val="00D868B6"/>
    <w:rsid w:val="00E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cp:lastPrinted>2021-07-19T07:36:00Z</cp:lastPrinted>
  <dcterms:created xsi:type="dcterms:W3CDTF">2022-08-22T12:35:00Z</dcterms:created>
  <dcterms:modified xsi:type="dcterms:W3CDTF">2022-08-22T12:35:00Z</dcterms:modified>
</cp:coreProperties>
</file>